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克州民族宗教事务局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lang w:eastAsia="zh-CN"/>
        </w:rPr>
      </w:pPr>
      <w:r>
        <w:rPr>
          <w:rFonts w:hint="eastAsia" w:ascii="仿宋_GB2312" w:hAnsi="宋体" w:eastAsia="仿宋_GB2312"/>
          <w:b w:val="0"/>
          <w:bCs/>
          <w:sz w:val="32"/>
          <w:szCs w:val="32"/>
        </w:rPr>
        <w:t>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贯彻实施有关法律法规规章，执行党中央、国务院和自治区党委、人民政府关于民族工作的方针、政策，执行自治州党委，人民政府对民族和事务工作的决定和各项措施，当好自治州党委、人民政府在民族工作方面的参谋和助手。组织开展民族理论、民族政策的宣传教育。组织开展民族工作重大问题的调查研究，并提出工作建议。负责协调推动有关部门履行民族工作相关职责。承办自治州民族团结进步表彰活动。负责民族事务服务体系和民族事务管理信息化建设工作。负责清真食品有关监督管理工作。指导少数民族古籍的搜集、整理出版工作。依法履行事务管理职责，依法保护公民信仰自由和合法的活动，积极引导与社会主义社会相适应，促进关系和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民宗局是独立编制机构，是全额预算管理独立核算行政单位，内设4个职能科（室），包括：民族科、宗教科、办公室、监督检查科、下设事业科室古籍管理中心，伊斯兰教协会。人员情况：克州民宗局编制人数21人，其中：行政编制11名，机关工勤事业编制11名，实有20人，退休人数17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　　自治州民族宗教事务局贯彻落实党中央关于民族宗教工作方针政策和决策部署以及自治区、自治州党委工作要求，在履行职责过程中坚持和加强党对民族宗教工作的集中统一领导。</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民族宗教事务局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（2）收支管理：领导层是本单位收支业务管理的决策部门，负责审批单位收支业务等事项。涉及“三重一大”事项，根据《克州民族宗教事务局集体决策制度》和《克州民族宗教事务局项目管理办法》办理。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民族宗教事务局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民族宗教事务局合同管理办法》相关规定，克州民族宗教事务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（三）项目资金分配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1.克州民宗局预算编制及分配依据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403.44万元，项目支出安排资金24.20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本单位2021年度项目支出24.20万元，涉及项目数量3个（包含一个涉密项目10万元）其中：重点项目支出10.40万元，涉及重点项目数量1个，重点项目支出与部门项目总支出的比率为42.98%。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2021年度本单位年初批复部门预算资金总额为286.38万元，年中调增预算总额为141.26万元，调整后全年预算资金总额为427.64万元。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2021年度本单位部门整体支出资金总额为390.04万元，预算执行率为91.21%，预算调整率为49.33%。</w:t>
      </w:r>
      <w:bookmarkStart w:id="1" w:name="_GoBack"/>
      <w:bookmarkEnd w:id="1"/>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年初政府采购预算数为16.29万元，实际政府采购数为16.29万元，政府采购执行率为100%。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（五）评价使用方法和主要内容、涉及范围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1.评价使用方法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评价范围是对本单位整体支出从年度总体绩效目标、产出指标、效益指标、满意度指标等方面进行了全方位、多角度综合评价分析。</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为加强预算管理、规范财务行为而加强内部控制体系建设工作，制定了《克州民宗局绩效项目管理办法》和《克州民宗局项目支出管理办法》等管理办法（制度），并严格按照此管理办法（制度）管理使用预算资金。我单位严格按照政府信息公开有关规定及财政部门要求公开相关预决算信息。</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2021年度我单位基本支出预算总额为403.44万元，其中人员经费351.26万元，公用经费52.17万元。实际执行总额为365.84万元，预算执行率90.68%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1.2万元，比上年减少0万元，减少0%，主要原因是：按照厉行节约的要求，2021年缩减公务车运行维护费，因此支出随之减少。其中，因公出国（境）费支出0万元；公务用车购置及运行维护费支出1万元；公务接待费支出0.2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与年初预算数相比情况：一般公共预算“三公”经费支出年初预算数1.20万元，预算执行数为1.19万元，执行率为99.16%，主要原因是：按照厉行节约的要求，2021年缩减公务车运行维护费，因此支出随之减少。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2021年度本单位项目支出预算总额为24.20（全年预算数）万元，实际执行资金总额为24.20（全年实际支出数）万元，预算执行率为100%。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2021年度预算安排本级财力资金24.20（全年预算数）万元，实际支出资金24.20（全年实际支出数）万元，预算执行率为100%，涉及项目个数3个，其中一个涉密涉及金额10万元，各项目详细执行情况如下：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民族团结项目:全年预算数为3.8（全年预算数）万元，预算执行数为3.8（全年预算数）万元，预算执行率为100%。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群众工作经费项目:全年预算数为10.4（全年预算数）万元，预算执行数为10.4（全年预算数）万元，预算执行率为100%。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（一）资产管理规范性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本单位2021年初资产合计数为45.63万元，年末资产合计数为62.53万元。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截止本年度固定资产账面净值23.75万元，年末实际在用固定资产23.75万元，固定资产利用率为100%。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部门单位整体支出自评表，共设置一级指标3个，二级指标7个，三级指标12个。</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1.产出数量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宗教工作调研次数指标，预期指标是大于等于48次，实际完成值是48次，指标完成率是100%，达到预期目标。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是大于等于18次，实际完成值是20次，指标完成率是100%，未达到预期目标。未达成预期目标，未完成的原因：偏差原因：2021年8月新招录2个事业编制人员。，今后的改进措施：年初做好人员规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购买办公用品及耗材指标，预期指标是大于等于12次，实际完成值是12次，指标完成率是100%，达到预期目标。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保障车辆指标，预期指标是大于等于2次，实际完成值是2次，指标完成率是100%，达到预期目标。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数量指标共计4个，完成4个，达到预期目标，数量指标完成。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2.产出质量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购买办公用品及耗材合格率指标，预期指标是等于100%，实际完成值是100%，指标完成率是100%，达到质量提升及标准。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资金使用合规率指标，预期指标是等于100%，实际完成值是100%，指标完成率是100%，达到质量提升及标准。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质量指标共计2个，完成2个，达到质量提升及标准。质量指标完成。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3.产出进度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资金拨付及时率指标，预期指标是等于100%，实际完成值是100%，指标完成率是100%，达到预期目标。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时效指标共计1个，完成1个，达达到预期目标，数量指标完成。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4.产出成本</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人员经费总金额指标，预期指标是小于等于259.35万元，实际完成值是259.35万元，指标完成率是100%，达到成本控制及改善目标。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公用经费总金额指标，预期指标是小于等于13.23万元，实际完成值是13.23万元，指标完成率是100%，达到成本控制及改善目标。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项目经费总金额指标，预期指标是小于等于13.8万元，实际完成值是13.8万元，指标完成率是100%，达到成本控制及改善目标。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成本指标共计3个，完成3个，达到成本控制及改善目标，成本指标完成。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1.项目实施的经济效益分析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2.项目实施的社会效益分析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提高社会服务能力指标，预期指标是持续改善，实际完成值是持续改善，指标完成率是100%，达到单位履职能力对社会带来的影响预期目标。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3.项目实施的生态效益分析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4.项目实施的可持续影响分析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提升民族团结知识知晓度指标，预期指标是有效提升，实际完成值是有效提升，指标完成率是100%，实现部门绩效长效机制建设，提高工作效率目标。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可持续影响指标共计1个，完成1个，达到预期目标，可持续影响指标完成。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受益群众满意度指标，预期指标是大于等于95%，实际完成值是95%，指标完成率是100%，达到部门（单位）服务对象对部门履职效果的满意度。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受益职工满意度指标，预期指标是大于等于95%，实际完成值是95%，指标完成率是100%，达到部门（单位）服务对象对部门履职效果的满意度。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满意度指标共计2个，完成2个，达到部门（单位）服务对象对部门履职效果的满意度，服务对象满意度指标完成。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A0BE2"/>
    <w:multiLevelType w:val="singleLevel"/>
    <w:tmpl w:val="0DCA0BE2"/>
    <w:lvl w:ilvl="0" w:tentative="0">
      <w:start w:val="1"/>
      <w:numFmt w:val="chineseCounting"/>
      <w:suff w:val="nothing"/>
      <w:lvlText w:val="（%1）"/>
      <w:lvlJc w:val="left"/>
      <w:rPr>
        <w:rFonts w:hint="eastAsia"/>
      </w:r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02C03E2"/>
    <w:rsid w:val="51C70EA9"/>
    <w:rsid w:val="54F842B6"/>
    <w:rsid w:val="656071F2"/>
    <w:rsid w:val="6BF1756B"/>
    <w:rsid w:val="6F5E1AA3"/>
    <w:rsid w:val="74F9215B"/>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1</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2022-05-23T12:32:10Z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